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ОЧНАЯ ФОРМА ОБУЧЕНИЯ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ТЕХНОЛОГИЧЕСКИЕ КАРТЫ ДИСЦИПЛИНЫ (модуля)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«Оздоровительные технологии и организация дополнительного образования детей и взрослых средствами избранного вида спорта»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Направление подготовки:</w:t>
      </w:r>
      <w:r>
        <w:rPr>
          <w:rFonts w:ascii="Times New Roman" w:hAnsi="Times New Roman"/>
          <w:spacing w:val="-4"/>
          <w:sz w:val="24"/>
          <w:szCs w:val="24"/>
        </w:rPr>
        <w:t xml:space="preserve"> 49.03.04 – «Спорт»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Кафедра</w:t>
      </w:r>
      <w:r>
        <w:rPr>
          <w:rFonts w:ascii="Times New Roman" w:hAnsi="Times New Roman"/>
          <w:spacing w:val="-4"/>
          <w:sz w:val="24"/>
          <w:szCs w:val="24"/>
        </w:rPr>
        <w:t xml:space="preserve"> теории и методики тхэквондо и сбе</w:t>
      </w:r>
    </w:p>
    <w:p>
      <w:pPr>
        <w:pStyle w:val="Style18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курс   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семестр                                                                                                  (на 20  /20   учебный год)</w:t>
      </w:r>
    </w:p>
    <w:tbl>
      <w:tblPr>
        <w:tblW w:w="962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0"/>
        <w:gridCol w:w="840"/>
        <w:gridCol w:w="5125"/>
        <w:gridCol w:w="914"/>
        <w:gridCol w:w="871"/>
        <w:gridCol w:w="1078"/>
      </w:tblGrid>
      <w:tr>
        <w:trPr/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Базовый модуль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заня-тия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Посе-щае-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мость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8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занятий и виды контроля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баллов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min</w:t>
            </w:r>
            <w:r>
              <w:rPr>
                <w:rFonts w:ascii="Times New Roman" w:hAnsi="Times New Roman"/>
              </w:rPr>
              <w:t>/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max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Нако-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пите-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льная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«стои-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мость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»/балл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самосто-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ятельной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под-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готовку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видам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контроля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/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ПЯТЫЙ СЕМЕСТР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Лекция 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«Применение оздоровительных технологий в кикбоксинге».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«Применение оздоровительных технологий в кикбоксинге».</w:t>
            </w:r>
          </w:p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№1 (по контр. вопросам)</w:t>
            </w:r>
          </w:p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Научное обоснование оздоровительных технологий в кикбоксинге;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ap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Профилактика травматизма на занятиях по кикбоксинге;</w:t>
            </w:r>
          </w:p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Целенаправленное укрепление мышц, связок и других физиологических систем организма у юныхкикбоксеров.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2/7,5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Лекция №2.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Гигиена и профилактика травматизма при занятиях кикбоксингом».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№2. «</w:t>
            </w:r>
            <w:r>
              <w:rPr>
                <w:rFonts w:ascii="Times New Roman" w:hAnsi="Times New Roman"/>
                <w:sz w:val="24"/>
                <w:szCs w:val="24"/>
              </w:rPr>
              <w:t>Гигиена и профилактика травматизма при занятиях кикбоксингом».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№2 (по контр. вопросам)</w:t>
            </w:r>
          </w:p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Причины заболеваний и травмы при занятиях 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организации занятий спортивной;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Материально-техническое обеспечение занятий;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и методы профилактики травматизма на занятиях.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Страховка;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Связь тренера со спортивным  врачом.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2/7,5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Лекция №3.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«Техника безопасной защиты руками, ногами и корпусом(самостраховка)».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«Техника безопасной защиты (самостраховка)».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№3 (по контр. вопросам)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2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методики обучения защиты;</w:t>
            </w:r>
          </w:p>
          <w:p>
            <w:pPr>
              <w:pStyle w:val="2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Подготовительные средства для обучения защиты.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2/7,5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Лекция №4.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«Исследование и оценка функционального состояния организма в кикбоксинге».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«Исследование и оценка функционального состояния организма в кикбоксинге».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№4 (по контр. вопросам)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2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Необходимые базовые знания по разделу врачебного контроля;</w:t>
            </w:r>
          </w:p>
          <w:p>
            <w:pPr>
              <w:pStyle w:val="2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Цели функциональной диагностики здоровых людей и спортсменов;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Определение и оценка физической работоспособности.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2/7,5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Лекция №5.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«Виды функциональных проб».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«Виды функциональных проб».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№5 (по контр. вопросам)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требования, предъявляемые к функциональным пробам;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Пробы с физической нагрузкой;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Требования ВОЗ, предъявляемые к тестирующим нагрузкам;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Велоэргометрия;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Цели проведения нагрузочной велоэргометрической пробы в кардиологии;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Противопоказания к проведению велоэргометрии и тредмил-теста;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Критерии прекращения велоэргометрической пробы.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2/7,5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Лекция №6.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«Исследование и оценка физической работоспособности в борьбе».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«Исследование и оценка физической работоспособности в борьбе».</w:t>
            </w:r>
          </w:p>
          <w:p>
            <w:pPr>
              <w:pStyle w:val="Style18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№6 (по контр. вопросам)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2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Физическая работоспособность;</w:t>
            </w:r>
          </w:p>
          <w:p>
            <w:pPr>
              <w:pStyle w:val="2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Аэробная и анаэробная производительность;</w:t>
            </w:r>
          </w:p>
          <w:p>
            <w:pPr>
              <w:pStyle w:val="2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Ресинтез АТФ;</w:t>
            </w:r>
          </w:p>
          <w:p>
            <w:pPr>
              <w:pStyle w:val="Style18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Вклад в энергообеспечение аэробных и анаэробных механизмов энергопродукции в зависимости от интенсивности и продолжительности нагрузки.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2/7,5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Лекция №7.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«Способы определения МПК: прямой и непрямой».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«Способы определения МПК: прямой и непрямой».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№6 (по контр. вопросам)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Максимальное потребление кислорода;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Субмаксимальный тест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PWC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170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теста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PWC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170 </w:t>
            </w:r>
            <w:r>
              <w:rPr>
                <w:rFonts w:ascii="Times New Roman" w:hAnsi="Times New Roman"/>
                <w:sz w:val="24"/>
                <w:szCs w:val="24"/>
              </w:rPr>
              <w:t>с помощью велоэргометра;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относительных значений показателя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PWC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170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Соотношение показателя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PWC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170 </w:t>
            </w:r>
            <w:r>
              <w:rPr>
                <w:rFonts w:ascii="Times New Roman" w:hAnsi="Times New Roman"/>
                <w:sz w:val="24"/>
                <w:szCs w:val="24"/>
              </w:rPr>
              <w:t>и величины МПК;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PWC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170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степ-теста;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Непрямой метод определения МПК;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Прямой метод определения МПК.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2/7,5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Лекция №8.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«Контроль направленности тренировочного процесса с учётом рекомендации по результатам тестирования».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«Контроль направленности тренировочного процесса с учётом рекомендации по результатам тестирования».</w:t>
            </w:r>
          </w:p>
          <w:p>
            <w:pPr>
              <w:pStyle w:val="Style18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8-текущий контроль – Опрос </w:t>
            </w:r>
            <w:r>
              <w:rPr>
                <w:rFonts w:ascii="Times New Roman" w:hAnsi="Times New Roman"/>
                <w:sz w:val="24"/>
                <w:szCs w:val="24"/>
              </w:rPr>
              <w:t>по материалу лекции №6 (по контр. вопросам)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вопросы: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направленности тренировочного процесса по показателю ПАНО;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pacing w:val="-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Оценка адаптационных резервов организма спортсменов;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 вариационной пульсометрии;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Комплексная оценка резервов здоровья спортсменов;</w:t>
            </w:r>
          </w:p>
          <w:p>
            <w:pPr>
              <w:pStyle w:val="Style18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функциональных резервов ЦНС по тесту зрительно-моторной реакции.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2/7,5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укрепление мышц, связок и других физиологических систем организма у юных кикбоксеров.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68,5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>
        <w:trPr>
          <w:trHeight w:val="262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 №10.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 методы профилактики травматизма на занятиях.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val="304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Подготовительные средства для обучения безопасному падению.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69,5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val="304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и оценка физической работоспособности.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val="304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Пробы с физической нагрузкой.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val="304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Физическая работоспособность.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PWC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170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степ-теста.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Семинар №16.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 вариационной пульсометрии.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ПРОМЕЖУТОЧНЫЙ КОНТРОЛЬ – (ЗАЧЁТ)</w:t>
            </w:r>
          </w:p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Можно получить по сумме баллов за посещаемость и успеваемость по видам контроля (текущий и рубежный), набранных в </w:t>
            </w:r>
            <w:r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</w:rPr>
              <w:t>I семестре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22/30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5 семестр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0/100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</w:t>
            </w:r>
          </w:p>
        </w:tc>
      </w:tr>
    </w:tbl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2">
    <w:name w:val="Обычный2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LibreOffice/7.2.1.2$Windows_x86 LibreOffice_project/87b77fad49947c1441b67c559c339af8f3517e22</Application>
  <AppVersion>15.0000</AppVersion>
  <Pages>4</Pages>
  <Words>740</Words>
  <Characters>4638</Characters>
  <CharactersWithSpaces>5272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2023-12-08T17:20:06Z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