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7C" w:rsidRDefault="006B297C" w:rsidP="006B2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97C" w:rsidRPr="00D27402" w:rsidRDefault="006B297C" w:rsidP="006B2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6B297C" w:rsidRDefault="006B297C" w:rsidP="006B297C">
      <w:pPr>
        <w:shd w:val="clear" w:color="auto" w:fill="FFFFFF"/>
        <w:spacing w:after="0" w:line="240" w:lineRule="auto"/>
        <w:ind w:right="-14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25124">
        <w:rPr>
          <w:rFonts w:ascii="Times New Roman" w:hAnsi="Times New Roman"/>
          <w:b/>
          <w:i/>
          <w:sz w:val="24"/>
          <w:szCs w:val="24"/>
        </w:rPr>
        <w:t>заочная форма обучения</w:t>
      </w:r>
    </w:p>
    <w:p w:rsidR="006B297C" w:rsidRDefault="006B297C" w:rsidP="006B297C">
      <w:pPr>
        <w:shd w:val="clear" w:color="auto" w:fill="FFFFFF"/>
        <w:spacing w:after="0" w:line="240" w:lineRule="auto"/>
        <w:ind w:right="-14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B297C" w:rsidRPr="00A62889" w:rsidRDefault="006B297C" w:rsidP="006B297C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6E5CFF">
        <w:rPr>
          <w:rFonts w:ascii="Times New Roman" w:hAnsi="Times New Roman"/>
          <w:spacing w:val="-4"/>
          <w:sz w:val="24"/>
          <w:szCs w:val="24"/>
          <w:u w:val="single"/>
        </w:rPr>
        <w:t xml:space="preserve">49.03.01 Физическая культура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6B297C" w:rsidRPr="00A62889" w:rsidRDefault="006B297C" w:rsidP="006B297C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EB0801">
        <w:rPr>
          <w:rFonts w:ascii="Times New Roman" w:hAnsi="Times New Roman"/>
          <w:sz w:val="24"/>
          <w:szCs w:val="24"/>
          <w:u w:val="single"/>
        </w:rPr>
        <w:t>Менеджмент физической культуры и спорта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</w:p>
    <w:p w:rsidR="006B297C" w:rsidRPr="00A62889" w:rsidRDefault="006B297C" w:rsidP="006B297C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</w:t>
      </w:r>
    </w:p>
    <w:p w:rsidR="006B297C" w:rsidRPr="00A62889" w:rsidRDefault="006B297C" w:rsidP="006B297C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6B297C" w:rsidRPr="00A62889" w:rsidRDefault="006B297C" w:rsidP="006B297C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6B297C" w:rsidRDefault="006B297C" w:rsidP="006B2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1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2B552B">
        <w:rPr>
          <w:rFonts w:ascii="Times New Roman" w:hAnsi="Times New Roman"/>
          <w:sz w:val="24"/>
          <w:szCs w:val="24"/>
        </w:rPr>
        <w:t>(</w:t>
      </w:r>
      <w:proofErr w:type="gramEnd"/>
      <w:r w:rsidRPr="002B552B">
        <w:rPr>
          <w:rFonts w:ascii="Times New Roman" w:hAnsi="Times New Roman"/>
          <w:sz w:val="24"/>
          <w:szCs w:val="24"/>
        </w:rPr>
        <w:t>на 20</w:t>
      </w:r>
      <w:r w:rsidRPr="008F3ADB">
        <w:rPr>
          <w:rFonts w:ascii="Times New Roman" w:hAnsi="Times New Roman"/>
          <w:sz w:val="24"/>
          <w:szCs w:val="24"/>
        </w:rPr>
        <w:t xml:space="preserve">22 </w:t>
      </w:r>
      <w:r w:rsidRPr="002B552B">
        <w:rPr>
          <w:rFonts w:ascii="Times New Roman" w:hAnsi="Times New Roman"/>
          <w:sz w:val="24"/>
          <w:szCs w:val="24"/>
        </w:rPr>
        <w:t>/20</w:t>
      </w:r>
      <w:r w:rsidRPr="008F3ADB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у</w:t>
      </w:r>
      <w:r w:rsidRPr="002B552B">
        <w:rPr>
          <w:rFonts w:ascii="Times New Roman" w:hAnsi="Times New Roman"/>
          <w:sz w:val="24"/>
          <w:szCs w:val="24"/>
        </w:rPr>
        <w:t xml:space="preserve">чебный год)    </w:t>
      </w:r>
    </w:p>
    <w:p w:rsidR="006B297C" w:rsidRPr="002B552B" w:rsidRDefault="006B297C" w:rsidP="006B2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0"/>
        <w:gridCol w:w="1185"/>
        <w:gridCol w:w="1158"/>
        <w:gridCol w:w="1534"/>
      </w:tblGrid>
      <w:tr w:rsidR="006B297C" w:rsidRPr="002B552B" w:rsidTr="00C60F7F">
        <w:trPr>
          <w:cantSplit/>
          <w:jc w:val="center"/>
        </w:trPr>
        <w:tc>
          <w:tcPr>
            <w:tcW w:w="171" w:type="pct"/>
            <w:shd w:val="clear" w:color="auto" w:fill="FFFFFF"/>
            <w:textDirection w:val="btLr"/>
            <w:vAlign w:val="center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0" w:type="pct"/>
            <w:shd w:val="clear" w:color="auto" w:fill="FFFFFF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2" w:type="pct"/>
            <w:shd w:val="clear" w:color="auto" w:fill="FFFFFF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40" w:type="pct"/>
            <w:shd w:val="clear" w:color="auto" w:fill="FFFFFF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14" w:type="pct"/>
            <w:shd w:val="clear" w:color="auto" w:fill="FFFFFF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13" w:type="pct"/>
            <w:shd w:val="clear" w:color="auto" w:fill="FFFFFF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6B297C" w:rsidRPr="002B552B" w:rsidTr="00C60F7F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2" w:type="pct"/>
            <w:shd w:val="clear" w:color="auto" w:fill="FFFFFF"/>
            <w:vAlign w:val="center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FFFFFF"/>
          </w:tcPr>
          <w:p w:rsidR="006B297C" w:rsidRPr="002B552B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6B297C" w:rsidRPr="002B552B" w:rsidTr="00C60F7F">
        <w:trPr>
          <w:jc w:val="center"/>
        </w:trPr>
        <w:tc>
          <w:tcPr>
            <w:tcW w:w="4187" w:type="pct"/>
            <w:gridSpan w:val="5"/>
            <w:shd w:val="clear" w:color="auto" w:fill="FFFFFF"/>
          </w:tcPr>
          <w:p w:rsidR="006B297C" w:rsidRPr="002B552B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>Первый семестр</w:t>
            </w:r>
          </w:p>
        </w:tc>
        <w:tc>
          <w:tcPr>
            <w:tcW w:w="813" w:type="pct"/>
            <w:shd w:val="clear" w:color="auto" w:fill="FFFFFF"/>
          </w:tcPr>
          <w:p w:rsidR="006B297C" w:rsidRPr="002B552B" w:rsidRDefault="006B297C" w:rsidP="00C60F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297C" w:rsidRPr="00F63C34" w:rsidTr="00C60F7F">
        <w:trPr>
          <w:jc w:val="center"/>
        </w:trPr>
        <w:tc>
          <w:tcPr>
            <w:tcW w:w="171" w:type="pct"/>
            <w:shd w:val="clear" w:color="auto" w:fill="D9D9D9" w:themeFill="background1" w:themeFillShade="D9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D9D9D9" w:themeFill="background1" w:themeFillShade="D9"/>
          </w:tcPr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</w:t>
            </w:r>
            <w:r w:rsidRPr="00E229D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занятие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229D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№1 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«About myself, Sport in my life»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Грамматика: э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лементарная грамматика: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порядок слов в предложении, глагол «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be</w:t>
            </w:r>
            <w:proofErr w:type="spell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типы вопросов в английском языке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, глагол «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have</w:t>
            </w:r>
            <w:proofErr w:type="spell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местоимение,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множественное число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имени существительного, п</w:t>
            </w:r>
            <w:r w:rsidRPr="00971A2B">
              <w:rPr>
                <w:rFonts w:ascii="Times New Roman" w:hAnsi="Times New Roman"/>
                <w:bCs/>
                <w:sz w:val="20"/>
                <w:szCs w:val="20"/>
              </w:rPr>
              <w:t>ритяж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ательный падеж существительного, артикли, прилагательное (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степени сравнения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), н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аречие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числительное (данные темы изучаются студентом ЗАРАНЕЕ САМОСТОЯТЕЛЬНО, на практическом занятии преподаватель отвечает на вопросы, возникшие у студентов по данным темам)</w:t>
            </w:r>
          </w:p>
          <w:p w:rsidR="006B297C" w:rsidRPr="000B5E74" w:rsidRDefault="006B297C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B5E74">
              <w:rPr>
                <w:rFonts w:ascii="Times New Roman" w:hAnsi="Times New Roman"/>
                <w:bCs/>
                <w:sz w:val="20"/>
                <w:szCs w:val="20"/>
              </w:rPr>
              <w:t>Времена</w:t>
            </w:r>
            <w:r w:rsidRPr="000B5E7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B5E74">
              <w:rPr>
                <w:rFonts w:ascii="Times New Roman" w:hAnsi="Times New Roman"/>
                <w:bCs/>
                <w:sz w:val="20"/>
                <w:szCs w:val="20"/>
              </w:rPr>
              <w:t>группы</w:t>
            </w:r>
            <w:r w:rsidRPr="000B5E7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Simple, Continuous.</w:t>
            </w:r>
            <w:r w:rsidRPr="00AF33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B5E74">
              <w:rPr>
                <w:rFonts w:ascii="Times New Roman" w:hAnsi="Times New Roman"/>
                <w:bCs/>
                <w:sz w:val="20"/>
                <w:szCs w:val="20"/>
              </w:rPr>
              <w:t>Оборот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«to be going to».</w:t>
            </w:r>
          </w:p>
          <w:p w:rsidR="006B297C" w:rsidRDefault="006B297C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Текущий контроль №1. Устный опрос по теме «</w:t>
            </w: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About</w:t>
            </w: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myself</w:t>
            </w: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».</w:t>
            </w:r>
          </w:p>
          <w:p w:rsidR="006B297C" w:rsidRPr="00E229D7" w:rsidRDefault="006B297C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4F8">
              <w:rPr>
                <w:rFonts w:ascii="Times New Roman" w:hAnsi="Times New Roman"/>
                <w:sz w:val="20"/>
                <w:szCs w:val="20"/>
              </w:rPr>
              <w:t xml:space="preserve">Рекомендация: материалы </w:t>
            </w:r>
            <w:r>
              <w:rPr>
                <w:rFonts w:ascii="Times New Roman" w:hAnsi="Times New Roman"/>
                <w:sz w:val="20"/>
                <w:szCs w:val="20"/>
              </w:rPr>
              <w:t>темы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</w:t>
            </w:r>
            <w:r w:rsidRPr="0076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76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my</w:t>
            </w:r>
            <w:r w:rsidRPr="0076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life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7654F8">
              <w:rPr>
                <w:rFonts w:ascii="Times New Roman" w:hAnsi="Times New Roman"/>
                <w:sz w:val="20"/>
                <w:szCs w:val="20"/>
              </w:rPr>
              <w:t xml:space="preserve"> могут</w:t>
            </w:r>
            <w:proofErr w:type="gramEnd"/>
            <w:r w:rsidRPr="007654F8">
              <w:rPr>
                <w:rFonts w:ascii="Times New Roman" w:hAnsi="Times New Roman"/>
                <w:sz w:val="20"/>
                <w:szCs w:val="20"/>
              </w:rPr>
              <w:t xml:space="preserve"> быть использованы при подготовке к текущему контролю № 1. Устный опрос по теме «</w:t>
            </w:r>
            <w:proofErr w:type="spellStart"/>
            <w:r w:rsidRPr="007654F8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76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54F8">
              <w:rPr>
                <w:rFonts w:ascii="Times New Roman" w:hAnsi="Times New Roman"/>
                <w:sz w:val="20"/>
                <w:szCs w:val="20"/>
              </w:rPr>
              <w:t>myself</w:t>
            </w:r>
            <w:proofErr w:type="spellEnd"/>
            <w:r w:rsidRPr="007654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E229D7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9D7">
              <w:rPr>
                <w:rFonts w:ascii="Times New Roman" w:hAnsi="Times New Roman"/>
                <w:b/>
                <w:sz w:val="20"/>
                <w:szCs w:val="20"/>
              </w:rPr>
              <w:t>3/10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B297C" w:rsidRPr="001815E3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E229D7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9D7">
              <w:rPr>
                <w:rFonts w:ascii="Times New Roman" w:hAnsi="Times New Roman"/>
                <w:b/>
                <w:sz w:val="20"/>
                <w:szCs w:val="20"/>
              </w:rPr>
              <w:t>3/10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B297C" w:rsidRPr="001815E3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C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6B297C" w:rsidRPr="00F63C34" w:rsidTr="00C60F7F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№2 </w:t>
            </w:r>
            <w:r w:rsidRPr="00E229D7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FD130B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Общеспортивная</w:t>
            </w:r>
            <w:proofErr w:type="spellEnd"/>
            <w:r w:rsidRPr="00FD1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терминология</w:t>
            </w:r>
            <w:r w:rsidRPr="00E229D7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Перевод текстов </w:t>
            </w:r>
            <w:proofErr w:type="spellStart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 тематики»</w:t>
            </w:r>
          </w:p>
          <w:p w:rsidR="006B297C" w:rsidRPr="009F7585" w:rsidRDefault="006B297C" w:rsidP="00C6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75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Грамматика: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Времена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группы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Perfect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Perfect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Continuous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Модальные</w:t>
            </w:r>
            <w:r w:rsidRPr="00E229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глаголы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E53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 (could), may (might), must, have to, ought to, to be to, should, need, dare.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</w:t>
            </w:r>
          </w:p>
          <w:p w:rsidR="006B297C" w:rsidRPr="009F7585" w:rsidRDefault="006B297C" w:rsidP="00C60F7F">
            <w:pPr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Понятие об обиходно-литературном, официально-деловом, научном стилях, стиле художественной литературы. Основные особенности научного стиля.    </w:t>
            </w:r>
          </w:p>
          <w:p w:rsidR="006B297C" w:rsidRPr="009F7585" w:rsidRDefault="006B297C" w:rsidP="00C60F7F">
            <w:pPr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 xml:space="preserve">Основные виды чтения в английском языке (просмотровое, ознакомительное, изучающее, поисковое).                                                                                                                                             </w:t>
            </w:r>
          </w:p>
          <w:p w:rsidR="006B297C" w:rsidRPr="009F7585" w:rsidRDefault="006B297C" w:rsidP="00C60F7F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Перевод текста с английского языка на русский: общие рекомендации, алгоритм работы с текстом.                                                                      Перевод текстов 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тематики. </w:t>
            </w:r>
          </w:p>
          <w:p w:rsidR="006B297C" w:rsidRPr="009F7585" w:rsidRDefault="006B297C" w:rsidP="00C60F7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29D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Текущий контроль №2.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Лексический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тест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теме </w:t>
            </w:r>
            <w:r w:rsidRPr="00D1514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1514B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Общеспортивная</w:t>
            </w:r>
            <w:proofErr w:type="spellEnd"/>
            <w:r w:rsidRPr="00D151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терминология»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(лексический минимум)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3" w:type="pct"/>
            <w:shd w:val="clear" w:color="auto" w:fill="FFFFFF"/>
          </w:tcPr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6B297C" w:rsidRPr="00F63C34" w:rsidTr="00C60F7F">
        <w:trPr>
          <w:jc w:val="center"/>
        </w:trPr>
        <w:tc>
          <w:tcPr>
            <w:tcW w:w="171" w:type="pct"/>
            <w:shd w:val="clear" w:color="auto" w:fill="D9D9D9" w:themeFill="background1" w:themeFillShade="D9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D9D9D9" w:themeFill="background1" w:themeFillShade="D9"/>
          </w:tcPr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№3</w:t>
            </w:r>
          </w:p>
          <w:p w:rsidR="006B297C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Перевод текстов </w:t>
            </w:r>
            <w:proofErr w:type="spellStart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 тематики»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Грамматика: видовременная система английского глагола, страдательный залог.      </w:t>
            </w:r>
          </w:p>
          <w:p w:rsidR="006B297C" w:rsidRPr="009F7585" w:rsidRDefault="006B297C" w:rsidP="00C60F7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Текущий контроль 3</w:t>
            </w:r>
            <w:r w:rsidRPr="009F758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. «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Перевод текстов </w:t>
            </w:r>
            <w:proofErr w:type="spellStart"/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тематики</w:t>
            </w:r>
            <w:r w:rsidRPr="009F758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 1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8/30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C34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</w:tr>
      <w:tr w:rsidR="006B297C" w:rsidRPr="00F63C34" w:rsidTr="00C60F7F">
        <w:trPr>
          <w:jc w:val="center"/>
        </w:trPr>
        <w:tc>
          <w:tcPr>
            <w:tcW w:w="171" w:type="pct"/>
            <w:vMerge w:val="restart"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№4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Перевод текстов </w:t>
            </w:r>
            <w:proofErr w:type="spellStart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 тематики»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297C" w:rsidRPr="00F63C34" w:rsidTr="00C60F7F">
        <w:trPr>
          <w:jc w:val="center"/>
        </w:trPr>
        <w:tc>
          <w:tcPr>
            <w:tcW w:w="171" w:type="pct"/>
            <w:vMerge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(внеаудиторная письменная работа </w:t>
            </w:r>
            <w:r w:rsidRPr="00E02F25">
              <w:rPr>
                <w:rFonts w:ascii="Times New Roman" w:hAnsi="Times New Roman"/>
                <w:b/>
                <w:sz w:val="20"/>
                <w:szCs w:val="20"/>
              </w:rPr>
              <w:t>по грамматическим/лексическим темам семестра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15/30!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3/60</w:t>
            </w:r>
          </w:p>
        </w:tc>
        <w:tc>
          <w:tcPr>
            <w:tcW w:w="813" w:type="pct"/>
            <w:shd w:val="clear" w:color="auto" w:fill="FFFFFF"/>
          </w:tcPr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C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6B297C" w:rsidRPr="00F63C34" w:rsidTr="00C60F7F">
        <w:trPr>
          <w:jc w:val="center"/>
        </w:trPr>
        <w:tc>
          <w:tcPr>
            <w:tcW w:w="171" w:type="pct"/>
            <w:vMerge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Рубежный контроль кафедры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тестирование)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roofErr w:type="gram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5/10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28/70</w:t>
            </w:r>
          </w:p>
        </w:tc>
        <w:tc>
          <w:tcPr>
            <w:tcW w:w="813" w:type="pct"/>
            <w:shd w:val="clear" w:color="auto" w:fill="FFFFFF"/>
          </w:tcPr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B297C" w:rsidRPr="00F63C34" w:rsidTr="00C60F7F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Промежуточный контроль (</w:t>
            </w:r>
            <w:r w:rsidRPr="000D00E5">
              <w:rPr>
                <w:rFonts w:ascii="Times New Roman" w:hAnsi="Times New Roman"/>
                <w:b/>
                <w:sz w:val="20"/>
                <w:szCs w:val="20"/>
              </w:rPr>
              <w:t>ЗАЧЕТ С ОЦЕНКОЙ</w:t>
            </w:r>
            <w:r w:rsidRPr="009F7585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22/30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50/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6B297C" w:rsidRPr="00F63C34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B297C" w:rsidRPr="009F7585" w:rsidTr="00C60F7F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 w:rsidRPr="009F75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Pr="009F7585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50/100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297C" w:rsidRDefault="006B297C" w:rsidP="006B297C"/>
    <w:p w:rsidR="006B297C" w:rsidRPr="00D27402" w:rsidRDefault="006B297C" w:rsidP="006B2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6B297C" w:rsidRDefault="006B297C" w:rsidP="006B297C">
      <w:pPr>
        <w:spacing w:after="0" w:line="240" w:lineRule="auto"/>
        <w:ind w:left="19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за</w:t>
      </w:r>
      <w:r w:rsidRPr="00D27402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6B297C" w:rsidRPr="00D27402" w:rsidRDefault="006B297C" w:rsidP="006B297C">
      <w:pPr>
        <w:spacing w:after="0" w:line="240" w:lineRule="auto"/>
        <w:ind w:left="1920"/>
        <w:rPr>
          <w:rFonts w:ascii="Times New Roman" w:hAnsi="Times New Roman"/>
          <w:i/>
          <w:sz w:val="24"/>
          <w:szCs w:val="24"/>
        </w:rPr>
      </w:pPr>
    </w:p>
    <w:p w:rsidR="006B297C" w:rsidRPr="00A62889" w:rsidRDefault="006B297C" w:rsidP="006B297C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6E5CFF">
        <w:rPr>
          <w:rFonts w:ascii="Times New Roman" w:hAnsi="Times New Roman"/>
          <w:spacing w:val="-4"/>
          <w:sz w:val="24"/>
          <w:szCs w:val="24"/>
          <w:u w:val="single"/>
        </w:rPr>
        <w:t xml:space="preserve">49.03.01 Физическая культура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6B297C" w:rsidRPr="00A62889" w:rsidRDefault="006B297C" w:rsidP="006B297C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EB0801">
        <w:rPr>
          <w:rFonts w:ascii="Times New Roman" w:hAnsi="Times New Roman"/>
          <w:sz w:val="24"/>
          <w:szCs w:val="24"/>
          <w:u w:val="single"/>
        </w:rPr>
        <w:t>Менеджмент физической культуры и спорта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</w:p>
    <w:p w:rsidR="006B297C" w:rsidRPr="00A62889" w:rsidRDefault="006B297C" w:rsidP="006B297C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</w:t>
      </w:r>
    </w:p>
    <w:p w:rsidR="006B297C" w:rsidRPr="00A62889" w:rsidRDefault="006B297C" w:rsidP="006B297C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6B297C" w:rsidRPr="002B552B" w:rsidRDefault="006B297C" w:rsidP="006B297C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6B297C" w:rsidRPr="006E5CFF" w:rsidRDefault="006B297C" w:rsidP="006B297C">
      <w:pPr>
        <w:spacing w:after="0" w:line="240" w:lineRule="auto"/>
        <w:rPr>
          <w:rFonts w:ascii="Times New Roman" w:hAnsi="Times New Roman"/>
        </w:rPr>
      </w:pPr>
      <w:r w:rsidRPr="006E5CFF">
        <w:rPr>
          <w:rFonts w:ascii="Times New Roman" w:hAnsi="Times New Roman"/>
        </w:rPr>
        <w:t xml:space="preserve">Курс 1 семестр 2                                                                                      </w:t>
      </w:r>
      <w:proofErr w:type="gramStart"/>
      <w:r w:rsidRPr="006E5CFF">
        <w:rPr>
          <w:rFonts w:ascii="Times New Roman" w:hAnsi="Times New Roman"/>
        </w:rPr>
        <w:t xml:space="preserve">   (</w:t>
      </w:r>
      <w:proofErr w:type="gramEnd"/>
      <w:r w:rsidRPr="006E5CFF">
        <w:rPr>
          <w:rFonts w:ascii="Times New Roman" w:hAnsi="Times New Roman"/>
        </w:rPr>
        <w:t xml:space="preserve">на 2022 /2023 учебный год)    </w:t>
      </w:r>
    </w:p>
    <w:p w:rsidR="006B297C" w:rsidRPr="002B552B" w:rsidRDefault="006B297C" w:rsidP="006B2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0"/>
        <w:gridCol w:w="1185"/>
        <w:gridCol w:w="1158"/>
        <w:gridCol w:w="1534"/>
      </w:tblGrid>
      <w:tr w:rsidR="006B297C" w:rsidRPr="009F7585" w:rsidTr="00C60F7F">
        <w:trPr>
          <w:cantSplit/>
          <w:jc w:val="center"/>
        </w:trPr>
        <w:tc>
          <w:tcPr>
            <w:tcW w:w="171" w:type="pct"/>
            <w:shd w:val="clear" w:color="auto" w:fill="FFFFFF"/>
            <w:textDirection w:val="btLr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0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F7585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2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Тема занятий и виды контроля</w:t>
            </w:r>
          </w:p>
        </w:tc>
        <w:tc>
          <w:tcPr>
            <w:tcW w:w="640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758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9F7585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9F758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14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7585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9F7585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13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6B297C" w:rsidRPr="009F7585" w:rsidTr="00C60F7F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2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6B297C" w:rsidRPr="009F7585" w:rsidTr="00C60F7F">
        <w:trPr>
          <w:jc w:val="center"/>
        </w:trPr>
        <w:tc>
          <w:tcPr>
            <w:tcW w:w="4187" w:type="pct"/>
            <w:gridSpan w:val="5"/>
            <w:shd w:val="clear" w:color="auto" w:fill="FFFFFF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Второй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13" w:type="pct"/>
            <w:shd w:val="clear" w:color="auto" w:fill="FFFFFF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297C" w:rsidRPr="009F7585" w:rsidTr="00C60F7F">
        <w:trPr>
          <w:jc w:val="center"/>
        </w:trPr>
        <w:tc>
          <w:tcPr>
            <w:tcW w:w="171" w:type="pct"/>
            <w:shd w:val="clear" w:color="auto" w:fill="D9D9D9" w:themeFill="background1" w:themeFillShade="D9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D9D9D9" w:themeFill="background1" w:themeFillShade="D9"/>
          </w:tcPr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ическое занятие № 1«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Olympic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Games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6B297C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 xml:space="preserve">Грамматика: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формы глагола, причастие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, причастный оборот, самостоятельный причастный оборот, формы причастия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Текущий контроль 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155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Устный опрос по теме «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Olympic</w:t>
            </w:r>
            <w:r w:rsidRPr="00D52B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Games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bottom"/>
          </w:tcPr>
          <w:p w:rsidR="006B297C" w:rsidRPr="00A1554F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 w:rsidRPr="00A1554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 w:rsidRPr="00A1554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E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6B297C" w:rsidRPr="009F7585" w:rsidTr="00C60F7F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6B297C" w:rsidRPr="00D077DE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занятие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№2 «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My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specialization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Грамматика: герундий, герундиальный оборот, причастие или герундий, формы герундия. Инфинитив. Инфинитив, отличие инфинитива от герундия, инфинитивный оборот в </w:t>
            </w:r>
            <w:proofErr w:type="gram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функции  сложного</w:t>
            </w:r>
            <w:proofErr w:type="gram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дополнения. Инфинитивный оборот в функции сложного подлежащего. Формы инфинитива.                     </w:t>
            </w:r>
          </w:p>
          <w:p w:rsidR="006B297C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Реферирование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а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ннотирование иноязычного текста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B297C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Перевод текстов по специальности. Чтение, перевод и реферирование аутентичных текстов (статьи из газет и журналов).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Лексический тест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теме </w:t>
            </w: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«Лексика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специальности»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6/2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13" w:type="pct"/>
            <w:shd w:val="clear" w:color="auto" w:fill="FFFFFF"/>
          </w:tcPr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6B297C" w:rsidRPr="009F7585" w:rsidTr="00C60F7F">
        <w:trPr>
          <w:jc w:val="center"/>
        </w:trPr>
        <w:tc>
          <w:tcPr>
            <w:tcW w:w="171" w:type="pct"/>
            <w:shd w:val="clear" w:color="auto" w:fill="D9D9D9" w:themeFill="background1" w:themeFillShade="D9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D9D9D9" w:themeFill="background1" w:themeFillShade="D9"/>
          </w:tcPr>
          <w:p w:rsidR="006B297C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№3 </w:t>
            </w: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specialization</w:t>
            </w:r>
            <w:proofErr w:type="spellEnd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6B297C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t xml:space="preserve">Грамматика: согласование времен, прямая и косвенная речь (повествовательное, </w:t>
            </w:r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вопросительное, повелительное предложение). Условные предложения.</w:t>
            </w:r>
          </w:p>
          <w:p w:rsidR="006B297C" w:rsidRPr="00D4057B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№3</w:t>
            </w: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. Перевод текстов по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специальности «</w:t>
            </w:r>
            <w:proofErr w:type="spellStart"/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My</w:t>
            </w:r>
            <w:proofErr w:type="spellEnd"/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specialization</w:t>
            </w:r>
            <w:proofErr w:type="spellEnd"/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2/10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8/30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6B297C" w:rsidRPr="009F7585" w:rsidTr="00C60F7F">
        <w:trPr>
          <w:trHeight w:val="926"/>
          <w:jc w:val="center"/>
        </w:trPr>
        <w:tc>
          <w:tcPr>
            <w:tcW w:w="171" w:type="pct"/>
            <w:vMerge w:val="restart"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6B297C" w:rsidRPr="00D27402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№4 </w:t>
            </w: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specialization</w:t>
            </w:r>
            <w:proofErr w:type="spellEnd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6B297C" w:rsidRPr="00D27402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t xml:space="preserve">Перевод текстов по специальности. Чтение, </w:t>
            </w:r>
            <w:proofErr w:type="gramStart"/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t>перевод  и</w:t>
            </w:r>
            <w:proofErr w:type="gramEnd"/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t xml:space="preserve"> аннотирование аутентичных текстов (статьи из газет и журналов).     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297C" w:rsidRPr="009F7585" w:rsidTr="00C60F7F">
        <w:trPr>
          <w:jc w:val="center"/>
        </w:trPr>
        <w:tc>
          <w:tcPr>
            <w:tcW w:w="171" w:type="pct"/>
            <w:vMerge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6B297C" w:rsidRPr="00D27402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740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внеаудиторная письменная работа </w:t>
            </w:r>
            <w:r w:rsidRPr="00E02F25">
              <w:rPr>
                <w:rFonts w:ascii="Times New Roman" w:hAnsi="Times New Roman"/>
                <w:b/>
                <w:sz w:val="20"/>
                <w:szCs w:val="20"/>
              </w:rPr>
              <w:t>по грамматическим/лексическим темам семестра</w:t>
            </w:r>
            <w:r w:rsidRPr="00D2740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15/30!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23/60</w:t>
            </w:r>
          </w:p>
        </w:tc>
        <w:tc>
          <w:tcPr>
            <w:tcW w:w="813" w:type="pct"/>
            <w:shd w:val="clear" w:color="auto" w:fill="FFFFFF"/>
          </w:tcPr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E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6B297C" w:rsidRPr="009F7585" w:rsidTr="00C60F7F">
        <w:trPr>
          <w:trHeight w:val="70"/>
          <w:jc w:val="center"/>
        </w:trPr>
        <w:tc>
          <w:tcPr>
            <w:tcW w:w="171" w:type="pct"/>
            <w:vMerge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6B297C" w:rsidRPr="009F7585" w:rsidRDefault="006B297C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Рубежный контроль кафедры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тестирование)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roofErr w:type="gram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5/10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28/70</w:t>
            </w:r>
          </w:p>
        </w:tc>
        <w:tc>
          <w:tcPr>
            <w:tcW w:w="813" w:type="pct"/>
            <w:shd w:val="clear" w:color="auto" w:fill="FFFFFF"/>
          </w:tcPr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E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B297C" w:rsidRPr="009F7585" w:rsidTr="00C60F7F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Промежуточный контроль (</w:t>
            </w:r>
            <w:r w:rsidRPr="00D077DE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  <w:r w:rsidRPr="009F7585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22/30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50/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97C" w:rsidRPr="00481EC6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B297C" w:rsidRPr="009F7585" w:rsidTr="00C60F7F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Pr="009F7585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6B297C" w:rsidRPr="009F7585" w:rsidRDefault="006B297C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50/100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6B297C" w:rsidRPr="009F7585" w:rsidRDefault="006B297C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297C" w:rsidRDefault="006B297C" w:rsidP="006B297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B297C" w:rsidRDefault="006B297C" w:rsidP="006B297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B297C" w:rsidRDefault="006B297C" w:rsidP="006B297C"/>
    <w:p w:rsidR="00757BD3" w:rsidRDefault="00757BD3"/>
    <w:sectPr w:rsidR="0075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7C"/>
    <w:rsid w:val="006B297C"/>
    <w:rsid w:val="007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40ED6-7E99-4512-9805-3AD5979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2023-01-25T14:11:00Z</dcterms:created>
  <dcterms:modified xsi:type="dcterms:W3CDTF">2023-01-25T14:13:00Z</dcterms:modified>
</cp:coreProperties>
</file>